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3A" w:rsidRDefault="0061743A">
      <w:pPr>
        <w:jc w:val="center"/>
        <w:rPr>
          <w:rFonts w:ascii="仿宋" w:eastAsia="仿宋" w:hAnsi="仿宋" w:cs="仿宋"/>
          <w:b/>
          <w:sz w:val="28"/>
          <w:szCs w:val="28"/>
        </w:rPr>
      </w:pPr>
    </w:p>
    <w:p w:rsidR="0061743A" w:rsidRPr="00223B98" w:rsidRDefault="00223B98">
      <w:pPr>
        <w:jc w:val="center"/>
        <w:rPr>
          <w:rFonts w:ascii="仿宋" w:eastAsia="仿宋" w:hAnsi="仿宋" w:cs="仿宋"/>
          <w:b/>
          <w:sz w:val="32"/>
          <w:szCs w:val="32"/>
        </w:rPr>
      </w:pPr>
      <w:r>
        <w:rPr>
          <w:rFonts w:ascii="仿宋" w:eastAsia="仿宋" w:hAnsi="仿宋" w:cs="仿宋" w:hint="eastAsia"/>
          <w:b/>
          <w:sz w:val="32"/>
          <w:szCs w:val="32"/>
        </w:rPr>
        <w:t>关于评选湛江中医学校门诊部银</w:t>
      </w:r>
      <w:r>
        <w:rPr>
          <w:rFonts w:ascii="仿宋" w:eastAsia="仿宋" w:hAnsi="仿宋" w:cs="仿宋"/>
          <w:b/>
          <w:sz w:val="32"/>
          <w:szCs w:val="32"/>
        </w:rPr>
        <w:t>行账户</w:t>
      </w:r>
      <w:r w:rsidR="006422E0" w:rsidRPr="00223B98">
        <w:rPr>
          <w:rFonts w:ascii="仿宋" w:eastAsia="仿宋" w:hAnsi="仿宋" w:cs="仿宋" w:hint="eastAsia"/>
          <w:b/>
          <w:sz w:val="32"/>
          <w:szCs w:val="32"/>
        </w:rPr>
        <w:t>开户银行的邀请函</w:t>
      </w:r>
    </w:p>
    <w:p w:rsidR="0061743A" w:rsidRDefault="006422E0" w:rsidP="00F04880">
      <w:pPr>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根据湛江市财政局《</w:t>
      </w:r>
      <w:r w:rsidR="00823BE8">
        <w:rPr>
          <w:rFonts w:ascii="仿宋" w:eastAsia="仿宋" w:hAnsi="仿宋" w:cs="仿宋" w:hint="eastAsia"/>
          <w:sz w:val="28"/>
          <w:szCs w:val="28"/>
        </w:rPr>
        <w:t>湛江</w:t>
      </w:r>
      <w:r w:rsidR="00823BE8">
        <w:rPr>
          <w:rFonts w:ascii="仿宋" w:eastAsia="仿宋" w:hAnsi="仿宋" w:cs="仿宋"/>
          <w:sz w:val="28"/>
          <w:szCs w:val="28"/>
        </w:rPr>
        <w:t>市市</w:t>
      </w:r>
      <w:r w:rsidR="00823BE8">
        <w:rPr>
          <w:rFonts w:ascii="仿宋" w:eastAsia="仿宋" w:hAnsi="仿宋" w:cs="仿宋" w:hint="eastAsia"/>
          <w:sz w:val="28"/>
          <w:szCs w:val="28"/>
        </w:rPr>
        <w:t>直</w:t>
      </w:r>
      <w:r w:rsidR="00823BE8">
        <w:rPr>
          <w:rFonts w:ascii="仿宋" w:eastAsia="仿宋" w:hAnsi="仿宋" w:cs="仿宋"/>
          <w:sz w:val="28"/>
          <w:szCs w:val="28"/>
        </w:rPr>
        <w:t>属</w:t>
      </w:r>
      <w:r w:rsidR="00823BE8">
        <w:rPr>
          <w:rFonts w:ascii="仿宋" w:eastAsia="仿宋" w:hAnsi="仿宋" w:cs="仿宋" w:hint="eastAsia"/>
          <w:sz w:val="28"/>
          <w:szCs w:val="28"/>
        </w:rPr>
        <w:t>预算</w:t>
      </w:r>
      <w:r w:rsidR="00823BE8">
        <w:rPr>
          <w:rFonts w:ascii="仿宋" w:eastAsia="仿宋" w:hAnsi="仿宋" w:cs="仿宋"/>
          <w:sz w:val="28"/>
          <w:szCs w:val="28"/>
        </w:rPr>
        <w:t>单位</w:t>
      </w:r>
      <w:r w:rsidR="00823BE8">
        <w:rPr>
          <w:rFonts w:ascii="仿宋" w:eastAsia="仿宋" w:hAnsi="仿宋" w:cs="仿宋" w:hint="eastAsia"/>
          <w:sz w:val="28"/>
          <w:szCs w:val="28"/>
        </w:rPr>
        <w:t>银</w:t>
      </w:r>
      <w:r w:rsidR="00823BE8">
        <w:rPr>
          <w:rFonts w:ascii="仿宋" w:eastAsia="仿宋" w:hAnsi="仿宋" w:cs="仿宋"/>
          <w:sz w:val="28"/>
          <w:szCs w:val="28"/>
        </w:rPr>
        <w:t>行</w:t>
      </w:r>
      <w:r w:rsidR="00823BE8">
        <w:rPr>
          <w:rFonts w:ascii="仿宋" w:eastAsia="仿宋" w:hAnsi="仿宋" w:cs="仿宋" w:hint="eastAsia"/>
          <w:sz w:val="28"/>
          <w:szCs w:val="28"/>
        </w:rPr>
        <w:t>账户管</w:t>
      </w:r>
      <w:r w:rsidR="00823BE8">
        <w:rPr>
          <w:rFonts w:ascii="仿宋" w:eastAsia="仿宋" w:hAnsi="仿宋" w:cs="仿宋"/>
          <w:sz w:val="28"/>
          <w:szCs w:val="28"/>
        </w:rPr>
        <w:t>理暂行办法</w:t>
      </w:r>
      <w:r>
        <w:rPr>
          <w:rFonts w:ascii="仿宋" w:eastAsia="仿宋" w:hAnsi="仿宋" w:cs="仿宋" w:hint="eastAsia"/>
          <w:sz w:val="28"/>
          <w:szCs w:val="28"/>
        </w:rPr>
        <w:t>》（</w:t>
      </w:r>
      <w:proofErr w:type="gramStart"/>
      <w:r>
        <w:rPr>
          <w:rFonts w:ascii="仿宋" w:eastAsia="仿宋" w:hAnsi="仿宋" w:cs="仿宋" w:hint="eastAsia"/>
          <w:sz w:val="28"/>
          <w:szCs w:val="28"/>
        </w:rPr>
        <w:t>湛财债</w:t>
      </w:r>
      <w:proofErr w:type="gramEnd"/>
      <w:r>
        <w:rPr>
          <w:rFonts w:ascii="仿宋" w:eastAsia="仿宋" w:hAnsi="仿宋" w:cs="仿宋" w:hint="eastAsia"/>
          <w:sz w:val="28"/>
          <w:szCs w:val="28"/>
        </w:rPr>
        <w:t>〔</w:t>
      </w:r>
      <w:r w:rsidR="00823BE8">
        <w:rPr>
          <w:rFonts w:ascii="仿宋" w:eastAsia="仿宋" w:hAnsi="仿宋" w:cs="仿宋" w:hint="eastAsia"/>
          <w:sz w:val="28"/>
          <w:szCs w:val="28"/>
        </w:rPr>
        <w:t>2022</w:t>
      </w:r>
      <w:r>
        <w:rPr>
          <w:rFonts w:ascii="仿宋" w:eastAsia="仿宋" w:hAnsi="仿宋" w:cs="仿宋" w:hint="eastAsia"/>
          <w:sz w:val="28"/>
          <w:szCs w:val="28"/>
        </w:rPr>
        <w:t>〕</w:t>
      </w:r>
      <w:r w:rsidR="00823BE8">
        <w:rPr>
          <w:rFonts w:ascii="仿宋" w:eastAsia="仿宋" w:hAnsi="仿宋" w:cs="仿宋" w:hint="eastAsia"/>
          <w:sz w:val="28"/>
          <w:szCs w:val="28"/>
        </w:rPr>
        <w:t>51</w:t>
      </w:r>
      <w:r>
        <w:rPr>
          <w:rFonts w:ascii="仿宋" w:eastAsia="仿宋" w:hAnsi="仿宋" w:cs="仿宋" w:hint="eastAsia"/>
          <w:sz w:val="28"/>
          <w:szCs w:val="28"/>
        </w:rPr>
        <w:t>号）文件精神及我校实际工作需要，现拟通过集体决策方式选定一家银行开立</w:t>
      </w:r>
      <w:r w:rsidR="00F04880">
        <w:rPr>
          <w:rFonts w:ascii="仿宋" w:eastAsia="仿宋" w:hAnsi="仿宋" w:cs="仿宋" w:hint="eastAsia"/>
          <w:sz w:val="28"/>
          <w:szCs w:val="28"/>
        </w:rPr>
        <w:t>银</w:t>
      </w:r>
      <w:r w:rsidR="00F04880">
        <w:rPr>
          <w:rFonts w:ascii="仿宋" w:eastAsia="仿宋" w:hAnsi="仿宋" w:cs="仿宋"/>
          <w:sz w:val="28"/>
          <w:szCs w:val="28"/>
        </w:rPr>
        <w:t>行</w:t>
      </w:r>
      <w:r>
        <w:rPr>
          <w:rFonts w:ascii="仿宋" w:eastAsia="仿宋" w:hAnsi="仿宋" w:cs="仿宋" w:hint="eastAsia"/>
          <w:sz w:val="28"/>
          <w:szCs w:val="28"/>
        </w:rPr>
        <w:t>账户，按照湛江市财政局及中国人民银行湛江市中心支行关于银行账户开立的相关规定，我校诚恳邀请贵行参加开户行评选工作。请按照《</w:t>
      </w:r>
      <w:r w:rsidR="007E3841" w:rsidRPr="00823BE8">
        <w:rPr>
          <w:rFonts w:ascii="仿宋" w:eastAsia="仿宋" w:hAnsi="仿宋" w:cs="仿宋" w:hint="eastAsia"/>
          <w:sz w:val="28"/>
          <w:szCs w:val="28"/>
        </w:rPr>
        <w:t>湛江中医学校门诊部</w:t>
      </w:r>
      <w:r w:rsidR="00823BE8">
        <w:rPr>
          <w:rFonts w:ascii="仿宋" w:eastAsia="仿宋" w:hAnsi="仿宋" w:cs="仿宋" w:hint="eastAsia"/>
          <w:sz w:val="28"/>
          <w:szCs w:val="28"/>
        </w:rPr>
        <w:t>银行</w:t>
      </w:r>
      <w:r w:rsidR="00823BE8">
        <w:rPr>
          <w:rFonts w:ascii="仿宋" w:eastAsia="仿宋" w:hAnsi="仿宋" w:cs="仿宋"/>
          <w:sz w:val="28"/>
          <w:szCs w:val="28"/>
        </w:rPr>
        <w:t>账户</w:t>
      </w:r>
      <w:r>
        <w:rPr>
          <w:rFonts w:ascii="仿宋" w:eastAsia="仿宋" w:hAnsi="仿宋" w:cs="仿宋" w:hint="eastAsia"/>
          <w:sz w:val="28"/>
          <w:szCs w:val="28"/>
        </w:rPr>
        <w:t>开户银行综分表》的评分指标，提供贵行的</w:t>
      </w:r>
      <w:r w:rsidR="00D52EA0">
        <w:rPr>
          <w:rFonts w:ascii="仿宋" w:eastAsia="仿宋" w:hAnsi="仿宋" w:cs="仿宋"/>
          <w:sz w:val="28"/>
          <w:szCs w:val="28"/>
        </w:rPr>
        <w:t>经营状况指标</w:t>
      </w:r>
      <w:r>
        <w:rPr>
          <w:rFonts w:ascii="仿宋" w:eastAsia="仿宋" w:hAnsi="仿宋" w:cs="仿宋" w:hint="eastAsia"/>
          <w:sz w:val="28"/>
          <w:szCs w:val="28"/>
        </w:rPr>
        <w:t>，提交的资料务必书面填写，</w:t>
      </w:r>
      <w:proofErr w:type="gramStart"/>
      <w:r>
        <w:rPr>
          <w:rFonts w:ascii="仿宋" w:eastAsia="仿宋" w:hAnsi="仿宋" w:cs="仿宋" w:hint="eastAsia"/>
          <w:sz w:val="28"/>
          <w:szCs w:val="28"/>
        </w:rPr>
        <w:t>盖银行</w:t>
      </w:r>
      <w:proofErr w:type="gramEnd"/>
      <w:r>
        <w:rPr>
          <w:rFonts w:ascii="仿宋" w:eastAsia="仿宋" w:hAnsi="仿宋" w:cs="仿宋" w:hint="eastAsia"/>
          <w:sz w:val="28"/>
          <w:szCs w:val="28"/>
        </w:rPr>
        <w:t>公章，信封口密封并加盖印章，并于</w:t>
      </w:r>
      <w:r w:rsidR="007E3841">
        <w:rPr>
          <w:rFonts w:ascii="仿宋" w:eastAsia="仿宋" w:hAnsi="仿宋" w:cs="仿宋" w:hint="eastAsia"/>
          <w:sz w:val="28"/>
          <w:szCs w:val="28"/>
        </w:rPr>
        <w:t>202</w:t>
      </w:r>
      <w:r w:rsidR="007E3841">
        <w:rPr>
          <w:rFonts w:ascii="仿宋" w:eastAsia="仿宋" w:hAnsi="仿宋" w:cs="仿宋"/>
          <w:sz w:val="28"/>
          <w:szCs w:val="28"/>
        </w:rPr>
        <w:t>3</w:t>
      </w:r>
      <w:r>
        <w:rPr>
          <w:rFonts w:ascii="仿宋" w:eastAsia="仿宋" w:hAnsi="仿宋" w:cs="仿宋" w:hint="eastAsia"/>
          <w:sz w:val="28"/>
          <w:szCs w:val="28"/>
        </w:rPr>
        <w:t>年 1</w:t>
      </w:r>
      <w:r w:rsidR="002E1BC3">
        <w:rPr>
          <w:rFonts w:ascii="仿宋" w:eastAsia="仿宋" w:hAnsi="仿宋" w:cs="仿宋"/>
          <w:sz w:val="28"/>
          <w:szCs w:val="28"/>
        </w:rPr>
        <w:t>1</w:t>
      </w:r>
      <w:r>
        <w:rPr>
          <w:rFonts w:ascii="仿宋" w:eastAsia="仿宋" w:hAnsi="仿宋" w:cs="仿宋" w:hint="eastAsia"/>
          <w:sz w:val="28"/>
          <w:szCs w:val="28"/>
        </w:rPr>
        <w:t xml:space="preserve">月 </w:t>
      </w:r>
      <w:r w:rsidR="002E1BC3">
        <w:rPr>
          <w:rFonts w:ascii="仿宋" w:eastAsia="仿宋" w:hAnsi="仿宋" w:cs="仿宋"/>
          <w:sz w:val="28"/>
          <w:szCs w:val="28"/>
        </w:rPr>
        <w:t>2</w:t>
      </w:r>
      <w:r w:rsidR="002549FB">
        <w:rPr>
          <w:rFonts w:ascii="仿宋" w:eastAsia="仿宋" w:hAnsi="仿宋" w:cs="仿宋"/>
          <w:sz w:val="28"/>
          <w:szCs w:val="28"/>
        </w:rPr>
        <w:t>7</w:t>
      </w:r>
      <w:r>
        <w:rPr>
          <w:rFonts w:ascii="仿宋" w:eastAsia="仿宋" w:hAnsi="仿宋" w:cs="仿宋" w:hint="eastAsia"/>
          <w:sz w:val="28"/>
          <w:szCs w:val="28"/>
        </w:rPr>
        <w:t xml:space="preserve"> 日11：30分前提交给我</w:t>
      </w:r>
      <w:r w:rsidR="00F04880">
        <w:rPr>
          <w:rFonts w:ascii="仿宋" w:eastAsia="仿宋" w:hAnsi="仿宋" w:cs="仿宋" w:hint="eastAsia"/>
          <w:sz w:val="28"/>
          <w:szCs w:val="28"/>
        </w:rPr>
        <w:t>校</w:t>
      </w:r>
      <w:r>
        <w:rPr>
          <w:rFonts w:ascii="仿宋" w:eastAsia="仿宋" w:hAnsi="仿宋" w:cs="仿宋" w:hint="eastAsia"/>
          <w:sz w:val="28"/>
          <w:szCs w:val="28"/>
        </w:rPr>
        <w:t>，贵行提供的所有资料我</w:t>
      </w:r>
      <w:r w:rsidR="00F04880">
        <w:rPr>
          <w:rFonts w:ascii="仿宋" w:eastAsia="仿宋" w:hAnsi="仿宋" w:cs="仿宋" w:hint="eastAsia"/>
          <w:sz w:val="28"/>
          <w:szCs w:val="28"/>
        </w:rPr>
        <w:t>校</w:t>
      </w:r>
      <w:r>
        <w:rPr>
          <w:rFonts w:ascii="仿宋" w:eastAsia="仿宋" w:hAnsi="仿宋" w:cs="仿宋" w:hint="eastAsia"/>
          <w:sz w:val="28"/>
          <w:szCs w:val="28"/>
        </w:rPr>
        <w:t>将会</w:t>
      </w:r>
      <w:proofErr w:type="gramStart"/>
      <w:r>
        <w:rPr>
          <w:rFonts w:ascii="仿宋" w:eastAsia="仿宋" w:hAnsi="仿宋" w:cs="仿宋" w:hint="eastAsia"/>
          <w:sz w:val="28"/>
          <w:szCs w:val="28"/>
        </w:rPr>
        <w:t>作文件</w:t>
      </w:r>
      <w:proofErr w:type="gramEnd"/>
      <w:r>
        <w:rPr>
          <w:rFonts w:ascii="仿宋" w:eastAsia="仿宋" w:hAnsi="仿宋" w:cs="仿宋" w:hint="eastAsia"/>
          <w:sz w:val="28"/>
          <w:szCs w:val="28"/>
        </w:rPr>
        <w:t>保密处理。</w:t>
      </w:r>
    </w:p>
    <w:p w:rsidR="0061743A" w:rsidRDefault="006422E0">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w:t>
      </w:r>
      <w:r w:rsidR="00F04880">
        <w:rPr>
          <w:rFonts w:ascii="仿宋" w:eastAsia="仿宋" w:hAnsi="仿宋" w:cs="仿宋" w:hint="eastAsia"/>
          <w:sz w:val="28"/>
          <w:szCs w:val="28"/>
        </w:rPr>
        <w:t>校</w:t>
      </w:r>
      <w:r>
        <w:rPr>
          <w:rFonts w:ascii="仿宋" w:eastAsia="仿宋" w:hAnsi="仿宋" w:cs="仿宋" w:hint="eastAsia"/>
          <w:sz w:val="28"/>
          <w:szCs w:val="28"/>
        </w:rPr>
        <w:t>通过组织评分并经过审批等流程后，将及时通知确定的开户银行。</w:t>
      </w:r>
    </w:p>
    <w:p w:rsidR="0061743A" w:rsidRDefault="006422E0">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衷心感谢贵行参加评选工作！</w:t>
      </w:r>
    </w:p>
    <w:p w:rsidR="0061743A" w:rsidRDefault="006422E0">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联系人：</w:t>
      </w:r>
      <w:r w:rsidR="007E3841">
        <w:rPr>
          <w:rFonts w:ascii="仿宋" w:eastAsia="仿宋" w:hAnsi="仿宋" w:cs="仿宋" w:hint="eastAsia"/>
          <w:sz w:val="28"/>
          <w:szCs w:val="28"/>
        </w:rPr>
        <w:t>尤老师</w:t>
      </w:r>
      <w:r>
        <w:rPr>
          <w:rFonts w:ascii="仿宋" w:eastAsia="仿宋" w:hAnsi="仿宋" w:cs="仿宋" w:hint="eastAsia"/>
          <w:sz w:val="28"/>
          <w:szCs w:val="28"/>
        </w:rPr>
        <w:t>，  联系电话：</w:t>
      </w:r>
      <w:r w:rsidR="00BF7DA7">
        <w:rPr>
          <w:rFonts w:ascii="仿宋" w:eastAsia="仿宋" w:hAnsi="仿宋" w:cs="仿宋" w:hint="eastAsia"/>
          <w:sz w:val="28"/>
          <w:szCs w:val="28"/>
        </w:rPr>
        <w:t>2296001</w:t>
      </w:r>
      <w:r>
        <w:rPr>
          <w:rFonts w:ascii="仿宋" w:eastAsia="仿宋" w:hAnsi="仿宋" w:cs="仿宋" w:hint="eastAsia"/>
          <w:sz w:val="28"/>
          <w:szCs w:val="28"/>
        </w:rPr>
        <w:t>。</w:t>
      </w:r>
    </w:p>
    <w:p w:rsidR="0061743A" w:rsidRDefault="0061743A">
      <w:pPr>
        <w:snapToGrid w:val="0"/>
        <w:spacing w:line="360" w:lineRule="auto"/>
        <w:ind w:firstLineChars="200" w:firstLine="560"/>
        <w:rPr>
          <w:rFonts w:ascii="仿宋" w:eastAsia="仿宋" w:hAnsi="仿宋" w:cs="仿宋"/>
          <w:sz w:val="28"/>
          <w:szCs w:val="28"/>
        </w:rPr>
      </w:pPr>
    </w:p>
    <w:p w:rsidR="0061743A" w:rsidRDefault="006422E0">
      <w:pPr>
        <w:snapToGrid w:val="0"/>
        <w:spacing w:line="360" w:lineRule="auto"/>
        <w:ind w:leftChars="304" w:left="1478" w:hangingChars="300" w:hanging="840"/>
        <w:rPr>
          <w:rFonts w:ascii="仿宋" w:eastAsia="仿宋" w:hAnsi="仿宋" w:cs="仿宋"/>
          <w:sz w:val="28"/>
          <w:szCs w:val="28"/>
        </w:rPr>
      </w:pPr>
      <w:r>
        <w:rPr>
          <w:rFonts w:ascii="仿宋" w:eastAsia="仿宋" w:hAnsi="仿宋" w:cs="仿宋" w:hint="eastAsia"/>
          <w:sz w:val="28"/>
          <w:szCs w:val="28"/>
        </w:rPr>
        <w:t>附件：《</w:t>
      </w:r>
      <w:r w:rsidR="00823BE8" w:rsidRPr="00823BE8">
        <w:rPr>
          <w:rFonts w:ascii="仿宋" w:eastAsia="仿宋" w:hAnsi="仿宋" w:cs="仿宋" w:hint="eastAsia"/>
          <w:bCs/>
          <w:color w:val="000000"/>
          <w:kern w:val="0"/>
          <w:sz w:val="28"/>
          <w:szCs w:val="28"/>
        </w:rPr>
        <w:t>湛江中医学校门</w:t>
      </w:r>
      <w:r w:rsidR="00823BE8" w:rsidRPr="00823BE8">
        <w:rPr>
          <w:rFonts w:ascii="仿宋" w:eastAsia="仿宋" w:hAnsi="仿宋" w:cs="仿宋"/>
          <w:bCs/>
          <w:color w:val="000000"/>
          <w:kern w:val="0"/>
          <w:sz w:val="28"/>
          <w:szCs w:val="28"/>
        </w:rPr>
        <w:t>诊部</w:t>
      </w:r>
      <w:r w:rsidR="00F04880">
        <w:rPr>
          <w:rFonts w:ascii="仿宋" w:eastAsia="仿宋" w:hAnsi="仿宋" w:cs="仿宋" w:hint="eastAsia"/>
          <w:sz w:val="28"/>
          <w:szCs w:val="28"/>
        </w:rPr>
        <w:t>银行</w:t>
      </w:r>
      <w:r w:rsidR="00DA1081">
        <w:rPr>
          <w:rFonts w:ascii="仿宋" w:eastAsia="仿宋" w:hAnsi="仿宋" w:cs="仿宋" w:hint="eastAsia"/>
          <w:sz w:val="28"/>
          <w:szCs w:val="28"/>
        </w:rPr>
        <w:t>账户</w:t>
      </w:r>
      <w:r>
        <w:rPr>
          <w:rFonts w:ascii="仿宋" w:eastAsia="仿宋" w:hAnsi="仿宋" w:cs="仿宋" w:hint="eastAsia"/>
          <w:sz w:val="28"/>
          <w:szCs w:val="28"/>
        </w:rPr>
        <w:t>开户银行综分表》</w:t>
      </w:r>
    </w:p>
    <w:p w:rsidR="0061743A" w:rsidRDefault="006422E0">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w:t>
      </w:r>
    </w:p>
    <w:p w:rsidR="0061743A" w:rsidRDefault="006422E0">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w:t>
      </w:r>
    </w:p>
    <w:p w:rsidR="00F04880" w:rsidRPr="007B4F2C" w:rsidRDefault="00F04880" w:rsidP="00F04880">
      <w:pPr>
        <w:snapToGrid w:val="0"/>
        <w:spacing w:line="360" w:lineRule="auto"/>
        <w:ind w:right="199" w:firstLineChars="200" w:firstLine="560"/>
        <w:jc w:val="right"/>
        <w:rPr>
          <w:rFonts w:ascii="仿宋" w:eastAsia="仿宋" w:hAnsi="仿宋" w:cs="仿宋"/>
          <w:sz w:val="28"/>
          <w:szCs w:val="28"/>
        </w:rPr>
      </w:pPr>
      <w:r w:rsidRPr="007B4F2C">
        <w:rPr>
          <w:rFonts w:ascii="仿宋" w:eastAsia="仿宋" w:hAnsi="仿宋" w:cs="仿宋" w:hint="eastAsia"/>
          <w:sz w:val="28"/>
          <w:szCs w:val="28"/>
        </w:rPr>
        <w:t>湛江中医学校门诊部</w:t>
      </w:r>
    </w:p>
    <w:p w:rsidR="0061743A" w:rsidRPr="007B4F2C" w:rsidRDefault="00823BE8">
      <w:pPr>
        <w:snapToGrid w:val="0"/>
        <w:spacing w:line="360" w:lineRule="auto"/>
        <w:ind w:right="480" w:firstLineChars="200" w:firstLine="560"/>
        <w:jc w:val="right"/>
        <w:rPr>
          <w:rFonts w:ascii="仿宋" w:eastAsia="仿宋" w:hAnsi="仿宋" w:cs="仿宋"/>
          <w:sz w:val="28"/>
          <w:szCs w:val="28"/>
        </w:rPr>
      </w:pPr>
      <w:r w:rsidRPr="007B4F2C">
        <w:rPr>
          <w:rFonts w:ascii="仿宋" w:eastAsia="仿宋" w:hAnsi="仿宋" w:cs="仿宋" w:hint="eastAsia"/>
          <w:sz w:val="28"/>
          <w:szCs w:val="28"/>
        </w:rPr>
        <w:t>2023</w:t>
      </w:r>
      <w:r w:rsidR="006422E0" w:rsidRPr="007B4F2C">
        <w:rPr>
          <w:rFonts w:ascii="仿宋" w:eastAsia="仿宋" w:hAnsi="仿宋" w:cs="仿宋" w:hint="eastAsia"/>
          <w:sz w:val="28"/>
          <w:szCs w:val="28"/>
        </w:rPr>
        <w:t>年11月</w:t>
      </w:r>
      <w:r w:rsidR="00AE264D">
        <w:rPr>
          <w:rFonts w:ascii="仿宋" w:eastAsia="仿宋" w:hAnsi="仿宋" w:cs="仿宋" w:hint="eastAsia"/>
          <w:sz w:val="28"/>
          <w:szCs w:val="28"/>
        </w:rPr>
        <w:t>19</w:t>
      </w:r>
      <w:r w:rsidR="006422E0" w:rsidRPr="007B4F2C">
        <w:rPr>
          <w:rFonts w:ascii="仿宋" w:eastAsia="仿宋" w:hAnsi="仿宋" w:cs="仿宋" w:hint="eastAsia"/>
          <w:sz w:val="28"/>
          <w:szCs w:val="28"/>
        </w:rPr>
        <w:t>日</w:t>
      </w:r>
    </w:p>
    <w:p w:rsidR="0061743A" w:rsidRDefault="0061743A">
      <w:pPr>
        <w:ind w:right="480"/>
        <w:rPr>
          <w:rFonts w:ascii="仿宋" w:eastAsia="仿宋" w:hAnsi="仿宋" w:cs="仿宋"/>
          <w:b/>
          <w:sz w:val="28"/>
          <w:szCs w:val="28"/>
        </w:rPr>
      </w:pPr>
    </w:p>
    <w:p w:rsidR="00F04880" w:rsidRDefault="00F04880">
      <w:pPr>
        <w:ind w:right="480"/>
        <w:rPr>
          <w:rFonts w:ascii="仿宋" w:eastAsia="仿宋" w:hAnsi="仿宋" w:cs="仿宋"/>
          <w:b/>
          <w:sz w:val="28"/>
          <w:szCs w:val="28"/>
        </w:rPr>
      </w:pPr>
    </w:p>
    <w:p w:rsidR="0061743A" w:rsidRDefault="006422E0">
      <w:pPr>
        <w:ind w:right="480"/>
        <w:rPr>
          <w:rFonts w:ascii="仿宋" w:eastAsia="仿宋" w:hAnsi="仿宋" w:cs="仿宋"/>
          <w:b/>
          <w:sz w:val="28"/>
          <w:szCs w:val="28"/>
        </w:rPr>
      </w:pPr>
      <w:r>
        <w:rPr>
          <w:rFonts w:ascii="仿宋" w:eastAsia="仿宋" w:hAnsi="仿宋" w:cs="仿宋" w:hint="eastAsia"/>
          <w:b/>
          <w:sz w:val="28"/>
          <w:szCs w:val="28"/>
        </w:rPr>
        <w:t>附件：</w:t>
      </w:r>
    </w:p>
    <w:tbl>
      <w:tblPr>
        <w:tblW w:w="9340" w:type="dxa"/>
        <w:tblInd w:w="99" w:type="dxa"/>
        <w:tblLook w:val="04A0" w:firstRow="1" w:lastRow="0" w:firstColumn="1" w:lastColumn="0" w:noHBand="0" w:noVBand="1"/>
      </w:tblPr>
      <w:tblGrid>
        <w:gridCol w:w="9428"/>
      </w:tblGrid>
      <w:tr w:rsidR="0061743A">
        <w:trPr>
          <w:trHeight w:val="1905"/>
        </w:trPr>
        <w:tc>
          <w:tcPr>
            <w:tcW w:w="9340" w:type="dxa"/>
            <w:tcBorders>
              <w:top w:val="nil"/>
              <w:left w:val="nil"/>
              <w:bottom w:val="single" w:sz="4" w:space="0" w:color="auto"/>
              <w:right w:val="nil"/>
            </w:tcBorders>
            <w:vAlign w:val="center"/>
          </w:tcPr>
          <w:p w:rsidR="0061743A" w:rsidRDefault="006422E0">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湛江</w:t>
            </w:r>
            <w:r w:rsidR="00F04880">
              <w:rPr>
                <w:rFonts w:ascii="仿宋" w:eastAsia="仿宋" w:hAnsi="仿宋" w:cs="仿宋" w:hint="eastAsia"/>
                <w:b/>
                <w:bCs/>
                <w:color w:val="000000"/>
                <w:kern w:val="0"/>
                <w:sz w:val="28"/>
                <w:szCs w:val="28"/>
              </w:rPr>
              <w:t>中医</w:t>
            </w:r>
            <w:r>
              <w:rPr>
                <w:rFonts w:ascii="仿宋" w:eastAsia="仿宋" w:hAnsi="仿宋" w:cs="仿宋" w:hint="eastAsia"/>
                <w:b/>
                <w:bCs/>
                <w:color w:val="000000"/>
                <w:kern w:val="0"/>
                <w:sz w:val="28"/>
                <w:szCs w:val="28"/>
              </w:rPr>
              <w:t>学校</w:t>
            </w:r>
            <w:r w:rsidR="00F04880">
              <w:rPr>
                <w:rFonts w:ascii="仿宋" w:eastAsia="仿宋" w:hAnsi="仿宋" w:cs="仿宋" w:hint="eastAsia"/>
                <w:b/>
                <w:bCs/>
                <w:color w:val="000000"/>
                <w:kern w:val="0"/>
                <w:sz w:val="28"/>
                <w:szCs w:val="28"/>
              </w:rPr>
              <w:t>门</w:t>
            </w:r>
            <w:r w:rsidR="00F04880">
              <w:rPr>
                <w:rFonts w:ascii="仿宋" w:eastAsia="仿宋" w:hAnsi="仿宋" w:cs="仿宋"/>
                <w:b/>
                <w:bCs/>
                <w:color w:val="000000"/>
                <w:kern w:val="0"/>
                <w:sz w:val="28"/>
                <w:szCs w:val="28"/>
              </w:rPr>
              <w:t>诊部</w:t>
            </w:r>
            <w:r>
              <w:rPr>
                <w:rFonts w:ascii="仿宋" w:eastAsia="仿宋" w:hAnsi="仿宋" w:cs="仿宋" w:hint="eastAsia"/>
                <w:b/>
                <w:bCs/>
                <w:color w:val="000000"/>
                <w:kern w:val="0"/>
                <w:sz w:val="28"/>
                <w:szCs w:val="28"/>
              </w:rPr>
              <w:t xml:space="preserve">                                       </w:t>
            </w:r>
          </w:p>
          <w:p w:rsidR="00223B98" w:rsidRDefault="00F04880" w:rsidP="00CE140E">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银行</w:t>
            </w:r>
            <w:r w:rsidR="00DA1081">
              <w:rPr>
                <w:rFonts w:ascii="仿宋" w:eastAsia="仿宋" w:hAnsi="仿宋" w:cs="仿宋" w:hint="eastAsia"/>
                <w:b/>
                <w:bCs/>
                <w:color w:val="000000"/>
                <w:kern w:val="0"/>
                <w:sz w:val="28"/>
                <w:szCs w:val="28"/>
              </w:rPr>
              <w:t>账户</w:t>
            </w:r>
            <w:bookmarkStart w:id="0" w:name="_GoBack"/>
            <w:bookmarkEnd w:id="0"/>
            <w:r w:rsidR="006422E0">
              <w:rPr>
                <w:rFonts w:ascii="仿宋" w:eastAsia="仿宋" w:hAnsi="仿宋" w:cs="仿宋" w:hint="eastAsia"/>
                <w:b/>
                <w:bCs/>
                <w:color w:val="000000"/>
                <w:kern w:val="0"/>
                <w:sz w:val="28"/>
                <w:szCs w:val="28"/>
              </w:rPr>
              <w:t>开户银行综合评分表</w:t>
            </w:r>
          </w:p>
          <w:tbl>
            <w:tblPr>
              <w:tblW w:w="9202" w:type="dxa"/>
              <w:tblLook w:val="04A0" w:firstRow="1" w:lastRow="0" w:firstColumn="1" w:lastColumn="0" w:noHBand="0" w:noVBand="1"/>
            </w:tblPr>
            <w:tblGrid>
              <w:gridCol w:w="857"/>
              <w:gridCol w:w="2538"/>
              <w:gridCol w:w="2617"/>
              <w:gridCol w:w="236"/>
              <w:gridCol w:w="2954"/>
            </w:tblGrid>
            <w:tr w:rsidR="00214305" w:rsidRPr="00223B98" w:rsidTr="00214305">
              <w:trPr>
                <w:trHeight w:val="799"/>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b/>
                      <w:bCs/>
                      <w:color w:val="000000"/>
                      <w:kern w:val="0"/>
                      <w:szCs w:val="21"/>
                    </w:rPr>
                  </w:pPr>
                  <w:r w:rsidRPr="00223B98">
                    <w:rPr>
                      <w:rFonts w:ascii="宋体" w:hAnsi="宋体" w:cs="宋体" w:hint="eastAsia"/>
                      <w:b/>
                      <w:bCs/>
                      <w:color w:val="000000"/>
                      <w:kern w:val="0"/>
                      <w:szCs w:val="21"/>
                    </w:rPr>
                    <w:t>类别</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b/>
                      <w:bCs/>
                      <w:color w:val="000000"/>
                      <w:kern w:val="0"/>
                      <w:szCs w:val="21"/>
                    </w:rPr>
                  </w:pPr>
                  <w:r w:rsidRPr="00223B98">
                    <w:rPr>
                      <w:rFonts w:ascii="宋体" w:hAnsi="宋体" w:cs="宋体" w:hint="eastAsia"/>
                      <w:b/>
                      <w:bCs/>
                      <w:color w:val="000000"/>
                      <w:kern w:val="0"/>
                      <w:szCs w:val="21"/>
                    </w:rPr>
                    <w:t>分项指标</w:t>
                  </w:r>
                </w:p>
              </w:tc>
              <w:tc>
                <w:tcPr>
                  <w:tcW w:w="2617" w:type="dxa"/>
                  <w:tcBorders>
                    <w:top w:val="single" w:sz="4" w:space="0" w:color="auto"/>
                    <w:left w:val="nil"/>
                    <w:bottom w:val="single" w:sz="4" w:space="0" w:color="auto"/>
                    <w:right w:val="single" w:sz="4" w:space="0" w:color="auto"/>
                  </w:tcBorders>
                </w:tcPr>
                <w:p w:rsidR="00214305" w:rsidRPr="00223B98" w:rsidRDefault="00214305" w:rsidP="00223B98">
                  <w:pPr>
                    <w:widowControl/>
                    <w:jc w:val="center"/>
                    <w:rPr>
                      <w:rFonts w:ascii="宋体" w:hAnsi="宋体" w:cs="宋体"/>
                      <w:b/>
                      <w:bCs/>
                      <w:color w:val="000000"/>
                      <w:kern w:val="0"/>
                      <w:szCs w:val="21"/>
                    </w:rPr>
                  </w:pPr>
                  <w:r w:rsidRPr="00CE140E">
                    <w:rPr>
                      <w:rFonts w:ascii="宋体" w:hAnsi="宋体" w:cs="宋体" w:hint="eastAsia"/>
                      <w:b/>
                      <w:bCs/>
                      <w:color w:val="000000"/>
                      <w:kern w:val="0"/>
                      <w:szCs w:val="21"/>
                    </w:rPr>
                    <w:t>评分标准</w:t>
                  </w:r>
                </w:p>
              </w:tc>
              <w:tc>
                <w:tcPr>
                  <w:tcW w:w="236" w:type="dxa"/>
                  <w:tcBorders>
                    <w:top w:val="single" w:sz="4" w:space="0" w:color="auto"/>
                    <w:left w:val="single" w:sz="4" w:space="0" w:color="auto"/>
                    <w:bottom w:val="single" w:sz="4" w:space="0" w:color="auto"/>
                    <w:right w:val="nil"/>
                  </w:tcBorders>
                </w:tcPr>
                <w:p w:rsidR="00214305" w:rsidRPr="00223B98" w:rsidRDefault="00214305" w:rsidP="00223B98">
                  <w:pPr>
                    <w:widowControl/>
                    <w:jc w:val="center"/>
                    <w:rPr>
                      <w:rFonts w:ascii="宋体" w:hAnsi="宋体" w:cs="宋体"/>
                      <w:b/>
                      <w:bCs/>
                      <w:color w:val="000000"/>
                      <w:kern w:val="0"/>
                      <w:szCs w:val="21"/>
                    </w:rPr>
                  </w:pP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b/>
                      <w:bCs/>
                      <w:color w:val="000000"/>
                      <w:kern w:val="0"/>
                      <w:szCs w:val="21"/>
                    </w:rPr>
                  </w:pPr>
                  <w:r w:rsidRPr="00223B98">
                    <w:rPr>
                      <w:rFonts w:ascii="宋体" w:hAnsi="宋体" w:cs="宋体" w:hint="eastAsia"/>
                      <w:b/>
                      <w:bCs/>
                      <w:color w:val="000000"/>
                      <w:kern w:val="0"/>
                      <w:szCs w:val="21"/>
                    </w:rPr>
                    <w:t>分值(分）</w:t>
                  </w:r>
                </w:p>
              </w:tc>
            </w:tr>
            <w:tr w:rsidR="00214305" w:rsidRPr="00223B98" w:rsidTr="00214305">
              <w:trPr>
                <w:trHeight w:val="600"/>
              </w:trPr>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经营状况</w:t>
                  </w: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净资产总额(亿元）</w:t>
                  </w:r>
                </w:p>
              </w:tc>
              <w:tc>
                <w:tcPr>
                  <w:tcW w:w="2617" w:type="dxa"/>
                  <w:vMerge w:val="restart"/>
                  <w:tcBorders>
                    <w:top w:val="nil"/>
                    <w:left w:val="nil"/>
                    <w:right w:val="single" w:sz="4" w:space="0" w:color="auto"/>
                  </w:tcBorders>
                </w:tcPr>
                <w:p w:rsidR="00214305" w:rsidRPr="00223B98" w:rsidRDefault="00214305" w:rsidP="00214305">
                  <w:pPr>
                    <w:widowControl/>
                    <w:jc w:val="center"/>
                    <w:rPr>
                      <w:rFonts w:ascii="宋体" w:hAnsi="宋体" w:cs="宋体"/>
                      <w:color w:val="000000"/>
                      <w:kern w:val="0"/>
                      <w:szCs w:val="21"/>
                    </w:rPr>
                  </w:pPr>
                  <w:r w:rsidRPr="00CE140E">
                    <w:rPr>
                      <w:rFonts w:ascii="宋体" w:hAnsi="宋体" w:cs="宋体" w:hint="eastAsia"/>
                      <w:color w:val="000000"/>
                      <w:kern w:val="0"/>
                      <w:szCs w:val="21"/>
                    </w:rPr>
                    <w:t>经营状况</w:t>
                  </w:r>
                  <w:proofErr w:type="gramStart"/>
                  <w:r w:rsidRPr="00CE140E">
                    <w:rPr>
                      <w:rFonts w:ascii="宋体" w:hAnsi="宋体" w:cs="宋体" w:hint="eastAsia"/>
                      <w:color w:val="000000"/>
                      <w:kern w:val="0"/>
                      <w:szCs w:val="21"/>
                    </w:rPr>
                    <w:t>类各项</w:t>
                  </w:r>
                  <w:proofErr w:type="gramEnd"/>
                  <w:r w:rsidRPr="00CE140E">
                    <w:rPr>
                      <w:rFonts w:ascii="宋体" w:hAnsi="宋体" w:cs="宋体" w:hint="eastAsia"/>
                      <w:color w:val="000000"/>
                      <w:kern w:val="0"/>
                      <w:szCs w:val="21"/>
                    </w:rPr>
                    <w:t>指标根据银行全行数据计算得出，银行已上市的，数据一般来源于已披露的最近一年的年度报告；银行未上市的，数据一般来源于最近一年经审计的年度报告。净资产总额、资本充足率、资产利润率得分的计算方法为：单项指标得分＝（本机构单项指标数值/所有参选银行在本指标中的最大值）×10；不良贷款率得分计算方法为：不良贷款率得分＝（所有参选银行在本指标中的最小值/本机构单项指标值）×10</w:t>
                  </w: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79"/>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资本充足率（%）</w:t>
                  </w:r>
                </w:p>
              </w:tc>
              <w:tc>
                <w:tcPr>
                  <w:tcW w:w="2617" w:type="dxa"/>
                  <w:vMerge/>
                  <w:tcBorders>
                    <w:left w:val="nil"/>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762"/>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不良贷款率（%）</w:t>
                  </w:r>
                </w:p>
              </w:tc>
              <w:tc>
                <w:tcPr>
                  <w:tcW w:w="2617" w:type="dxa"/>
                  <w:vMerge/>
                  <w:tcBorders>
                    <w:left w:val="nil"/>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739"/>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资产利润率（%）</w:t>
                  </w:r>
                </w:p>
              </w:tc>
              <w:tc>
                <w:tcPr>
                  <w:tcW w:w="2617" w:type="dxa"/>
                  <w:vMerge/>
                  <w:tcBorders>
                    <w:left w:val="nil"/>
                    <w:bottom w:val="single" w:sz="4" w:space="0" w:color="auto"/>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00"/>
              </w:trPr>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服务水平</w:t>
                  </w: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银行服务质量的整体满意度</w:t>
                  </w:r>
                </w:p>
              </w:tc>
              <w:tc>
                <w:tcPr>
                  <w:tcW w:w="2617" w:type="dxa"/>
                  <w:vMerge w:val="restart"/>
                  <w:tcBorders>
                    <w:top w:val="nil"/>
                    <w:left w:val="nil"/>
                    <w:right w:val="single" w:sz="4" w:space="0" w:color="auto"/>
                  </w:tcBorders>
                </w:tcPr>
                <w:p w:rsidR="00214305" w:rsidRPr="00223B98" w:rsidRDefault="00214305" w:rsidP="00223B98">
                  <w:pPr>
                    <w:widowControl/>
                    <w:jc w:val="center"/>
                    <w:rPr>
                      <w:rFonts w:ascii="宋体" w:hAnsi="宋体" w:cs="宋体"/>
                      <w:color w:val="000000"/>
                      <w:kern w:val="0"/>
                      <w:szCs w:val="21"/>
                    </w:rPr>
                  </w:pPr>
                  <w:r w:rsidRPr="00CE140E">
                    <w:rPr>
                      <w:rFonts w:ascii="宋体" w:hAnsi="宋体" w:cs="宋体" w:hint="eastAsia"/>
                      <w:color w:val="000000"/>
                      <w:kern w:val="0"/>
                      <w:szCs w:val="21"/>
                    </w:rPr>
                    <w:t>由评选人员根据具体分项指标情况采取评审方法，采用百分制打分。单项指标得分＝（本机构单项指标评选人员评分/100）×10</w:t>
                  </w: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00"/>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银行服务的效率</w:t>
                  </w:r>
                </w:p>
              </w:tc>
              <w:tc>
                <w:tcPr>
                  <w:tcW w:w="2617" w:type="dxa"/>
                  <w:vMerge/>
                  <w:tcBorders>
                    <w:left w:val="nil"/>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00"/>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银行工作人员的态度</w:t>
                  </w:r>
                </w:p>
              </w:tc>
              <w:tc>
                <w:tcPr>
                  <w:tcW w:w="2617" w:type="dxa"/>
                  <w:vMerge/>
                  <w:tcBorders>
                    <w:left w:val="nil"/>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00"/>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银行工作人员的专业水平</w:t>
                  </w:r>
                </w:p>
              </w:tc>
              <w:tc>
                <w:tcPr>
                  <w:tcW w:w="2617" w:type="dxa"/>
                  <w:vMerge/>
                  <w:tcBorders>
                    <w:left w:val="nil"/>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00"/>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rPr>
                      <w:rFonts w:ascii="宋体" w:hAnsi="宋体" w:cs="宋体"/>
                      <w:color w:val="000000"/>
                      <w:kern w:val="0"/>
                      <w:szCs w:val="21"/>
                    </w:rPr>
                  </w:pPr>
                  <w:r w:rsidRPr="00223B98">
                    <w:rPr>
                      <w:rFonts w:ascii="宋体" w:hAnsi="宋体" w:cs="宋体" w:hint="eastAsia"/>
                      <w:color w:val="000000"/>
                      <w:kern w:val="0"/>
                      <w:szCs w:val="21"/>
                    </w:rPr>
                    <w:t>银行内部服务环境的舒适度</w:t>
                  </w:r>
                </w:p>
              </w:tc>
              <w:tc>
                <w:tcPr>
                  <w:tcW w:w="2617" w:type="dxa"/>
                  <w:vMerge/>
                  <w:tcBorders>
                    <w:left w:val="nil"/>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00"/>
              </w:trPr>
              <w:tc>
                <w:tcPr>
                  <w:tcW w:w="857" w:type="dxa"/>
                  <w:vMerge/>
                  <w:tcBorders>
                    <w:top w:val="nil"/>
                    <w:left w:val="single" w:sz="4" w:space="0" w:color="auto"/>
                    <w:bottom w:val="single" w:sz="4" w:space="0" w:color="auto"/>
                    <w:right w:val="single" w:sz="4" w:space="0" w:color="auto"/>
                  </w:tcBorders>
                  <w:vAlign w:val="center"/>
                  <w:hideMark/>
                </w:tcPr>
                <w:p w:rsidR="00214305" w:rsidRPr="00223B98" w:rsidRDefault="00214305" w:rsidP="00223B98">
                  <w:pPr>
                    <w:widowControl/>
                    <w:jc w:val="left"/>
                    <w:rPr>
                      <w:rFonts w:ascii="宋体" w:hAnsi="宋体" w:cs="宋体"/>
                      <w:color w:val="000000"/>
                      <w:kern w:val="0"/>
                      <w:szCs w:val="21"/>
                    </w:rPr>
                  </w:pPr>
                </w:p>
              </w:tc>
              <w:tc>
                <w:tcPr>
                  <w:tcW w:w="2538"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left"/>
                    <w:rPr>
                      <w:rFonts w:ascii="宋体" w:hAnsi="宋体" w:cs="宋体"/>
                      <w:color w:val="000000"/>
                      <w:kern w:val="0"/>
                      <w:szCs w:val="21"/>
                    </w:rPr>
                  </w:pPr>
                  <w:r w:rsidRPr="00223B98">
                    <w:rPr>
                      <w:rFonts w:ascii="宋体" w:hAnsi="宋体" w:cs="宋体" w:hint="eastAsia"/>
                      <w:color w:val="000000"/>
                      <w:kern w:val="0"/>
                      <w:szCs w:val="21"/>
                    </w:rPr>
                    <w:t>银行处理投诉问题的效率</w:t>
                  </w:r>
                </w:p>
              </w:tc>
              <w:tc>
                <w:tcPr>
                  <w:tcW w:w="2617" w:type="dxa"/>
                  <w:vMerge/>
                  <w:tcBorders>
                    <w:left w:val="nil"/>
                    <w:bottom w:val="single" w:sz="4" w:space="0" w:color="auto"/>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w:t>
                  </w:r>
                </w:p>
              </w:tc>
            </w:tr>
            <w:tr w:rsidR="00214305" w:rsidRPr="00223B98" w:rsidTr="00214305">
              <w:trPr>
                <w:trHeight w:val="600"/>
              </w:trPr>
              <w:tc>
                <w:tcPr>
                  <w:tcW w:w="33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总分</w:t>
                  </w:r>
                </w:p>
              </w:tc>
              <w:tc>
                <w:tcPr>
                  <w:tcW w:w="2617" w:type="dxa"/>
                  <w:tcBorders>
                    <w:top w:val="nil"/>
                    <w:left w:val="nil"/>
                    <w:bottom w:val="single" w:sz="4" w:space="0" w:color="auto"/>
                    <w:right w:val="single" w:sz="4" w:space="0" w:color="auto"/>
                  </w:tcBorders>
                </w:tcPr>
                <w:p w:rsidR="00214305" w:rsidRPr="00223B98" w:rsidRDefault="00214305" w:rsidP="00223B98">
                  <w:pPr>
                    <w:widowControl/>
                    <w:jc w:val="center"/>
                    <w:rPr>
                      <w:rFonts w:ascii="宋体" w:hAnsi="宋体" w:cs="宋体"/>
                      <w:color w:val="000000"/>
                      <w:kern w:val="0"/>
                      <w:szCs w:val="21"/>
                    </w:rPr>
                  </w:pPr>
                </w:p>
              </w:tc>
              <w:tc>
                <w:tcPr>
                  <w:tcW w:w="236" w:type="dxa"/>
                  <w:tcBorders>
                    <w:top w:val="nil"/>
                    <w:left w:val="single" w:sz="4" w:space="0" w:color="auto"/>
                    <w:bottom w:val="single" w:sz="4" w:space="0" w:color="auto"/>
                    <w:right w:val="nil"/>
                  </w:tcBorders>
                </w:tcPr>
                <w:p w:rsidR="00214305" w:rsidRPr="00223B98" w:rsidRDefault="00214305" w:rsidP="00223B98">
                  <w:pPr>
                    <w:widowControl/>
                    <w:jc w:val="center"/>
                    <w:rPr>
                      <w:rFonts w:ascii="宋体" w:hAnsi="宋体" w:cs="宋体"/>
                      <w:color w:val="000000"/>
                      <w:kern w:val="0"/>
                      <w:szCs w:val="21"/>
                    </w:rPr>
                  </w:pPr>
                </w:p>
              </w:tc>
              <w:tc>
                <w:tcPr>
                  <w:tcW w:w="2954" w:type="dxa"/>
                  <w:tcBorders>
                    <w:top w:val="nil"/>
                    <w:left w:val="nil"/>
                    <w:bottom w:val="single" w:sz="4" w:space="0" w:color="auto"/>
                    <w:right w:val="single" w:sz="4" w:space="0" w:color="auto"/>
                  </w:tcBorders>
                  <w:shd w:val="clear" w:color="auto" w:fill="auto"/>
                  <w:vAlign w:val="center"/>
                  <w:hideMark/>
                </w:tcPr>
                <w:p w:rsidR="00214305" w:rsidRPr="00223B98" w:rsidRDefault="00214305" w:rsidP="00223B98">
                  <w:pPr>
                    <w:widowControl/>
                    <w:jc w:val="center"/>
                    <w:rPr>
                      <w:rFonts w:ascii="宋体" w:hAnsi="宋体" w:cs="宋体"/>
                      <w:color w:val="000000"/>
                      <w:kern w:val="0"/>
                      <w:szCs w:val="21"/>
                    </w:rPr>
                  </w:pPr>
                  <w:r w:rsidRPr="00223B98">
                    <w:rPr>
                      <w:rFonts w:ascii="宋体" w:hAnsi="宋体" w:cs="宋体" w:hint="eastAsia"/>
                      <w:color w:val="000000"/>
                      <w:kern w:val="0"/>
                      <w:szCs w:val="21"/>
                    </w:rPr>
                    <w:t>100</w:t>
                  </w:r>
                </w:p>
              </w:tc>
            </w:tr>
          </w:tbl>
          <w:p w:rsidR="00154A6C" w:rsidRDefault="00154A6C" w:rsidP="00CE140E">
            <w:pPr>
              <w:widowControl/>
              <w:jc w:val="center"/>
              <w:rPr>
                <w:rFonts w:ascii="仿宋" w:eastAsia="仿宋" w:hAnsi="仿宋" w:cs="仿宋"/>
                <w:b/>
                <w:bCs/>
                <w:color w:val="000000"/>
                <w:kern w:val="0"/>
                <w:sz w:val="28"/>
                <w:szCs w:val="28"/>
              </w:rPr>
            </w:pPr>
          </w:p>
        </w:tc>
      </w:tr>
    </w:tbl>
    <w:p w:rsidR="0061743A" w:rsidRDefault="0061743A">
      <w:pPr>
        <w:ind w:right="480"/>
        <w:jc w:val="left"/>
        <w:rPr>
          <w:rFonts w:ascii="仿宋" w:eastAsia="仿宋" w:hAnsi="仿宋" w:cs="仿宋"/>
          <w:b/>
          <w:sz w:val="28"/>
          <w:szCs w:val="28"/>
        </w:rPr>
      </w:pPr>
    </w:p>
    <w:p w:rsidR="00CE140E" w:rsidRPr="00CE140E" w:rsidRDefault="00CE140E">
      <w:pPr>
        <w:ind w:right="480"/>
        <w:jc w:val="left"/>
        <w:rPr>
          <w:rFonts w:ascii="仿宋" w:eastAsia="仿宋" w:hAnsi="仿宋" w:cs="仿宋"/>
          <w:b/>
          <w:sz w:val="28"/>
          <w:szCs w:val="28"/>
        </w:rPr>
      </w:pPr>
    </w:p>
    <w:sectPr w:rsidR="00CE140E" w:rsidRPr="00CE140E">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7D" w:rsidRDefault="0051547D">
      <w:r>
        <w:separator/>
      </w:r>
    </w:p>
  </w:endnote>
  <w:endnote w:type="continuationSeparator" w:id="0">
    <w:p w:rsidR="0051547D" w:rsidRDefault="0051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3A" w:rsidRDefault="006422E0">
    <w:pPr>
      <w:pStyle w:val="a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B4F2C">
      <w:rPr>
        <w:noProof/>
        <w:kern w:val="0"/>
        <w:szCs w:val="21"/>
      </w:rPr>
      <w:t>3</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7D" w:rsidRDefault="0051547D">
      <w:r>
        <w:separator/>
      </w:r>
    </w:p>
  </w:footnote>
  <w:footnote w:type="continuationSeparator" w:id="0">
    <w:p w:rsidR="0051547D" w:rsidRDefault="00515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0236"/>
    <w:multiLevelType w:val="hybridMultilevel"/>
    <w:tmpl w:val="0686B23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Mjk5NDI1YjgyZWJiYmFiYTQzMGJmYWI0OGU4NWYifQ=="/>
  </w:docVars>
  <w:rsids>
    <w:rsidRoot w:val="00C5754B"/>
    <w:rsid w:val="000271B5"/>
    <w:rsid w:val="00090D6F"/>
    <w:rsid w:val="00110536"/>
    <w:rsid w:val="00154A6C"/>
    <w:rsid w:val="001A2791"/>
    <w:rsid w:val="001B7CFB"/>
    <w:rsid w:val="001C54CE"/>
    <w:rsid w:val="001C6805"/>
    <w:rsid w:val="001C7E02"/>
    <w:rsid w:val="00214305"/>
    <w:rsid w:val="002226B7"/>
    <w:rsid w:val="00223B98"/>
    <w:rsid w:val="002549FB"/>
    <w:rsid w:val="002E1BC3"/>
    <w:rsid w:val="002E312A"/>
    <w:rsid w:val="00305BDD"/>
    <w:rsid w:val="0032072F"/>
    <w:rsid w:val="003A1676"/>
    <w:rsid w:val="003D3AA4"/>
    <w:rsid w:val="0040525B"/>
    <w:rsid w:val="00442489"/>
    <w:rsid w:val="0044520D"/>
    <w:rsid w:val="0044702C"/>
    <w:rsid w:val="0046460A"/>
    <w:rsid w:val="004B183E"/>
    <w:rsid w:val="004C3E23"/>
    <w:rsid w:val="0050364D"/>
    <w:rsid w:val="0051260E"/>
    <w:rsid w:val="0051547D"/>
    <w:rsid w:val="00535D9D"/>
    <w:rsid w:val="0061587A"/>
    <w:rsid w:val="0061743A"/>
    <w:rsid w:val="0062434A"/>
    <w:rsid w:val="006422E0"/>
    <w:rsid w:val="00663507"/>
    <w:rsid w:val="006B49F9"/>
    <w:rsid w:val="006E066E"/>
    <w:rsid w:val="00703F62"/>
    <w:rsid w:val="00767859"/>
    <w:rsid w:val="007708C2"/>
    <w:rsid w:val="0079481E"/>
    <w:rsid w:val="007B4F2C"/>
    <w:rsid w:val="007E3841"/>
    <w:rsid w:val="007E5AB8"/>
    <w:rsid w:val="007E6C66"/>
    <w:rsid w:val="007F3598"/>
    <w:rsid w:val="00823BE8"/>
    <w:rsid w:val="00833F59"/>
    <w:rsid w:val="00842320"/>
    <w:rsid w:val="00877EAF"/>
    <w:rsid w:val="008B7343"/>
    <w:rsid w:val="008C4F8E"/>
    <w:rsid w:val="008D7B88"/>
    <w:rsid w:val="009129BF"/>
    <w:rsid w:val="0091733A"/>
    <w:rsid w:val="009226C6"/>
    <w:rsid w:val="009446E8"/>
    <w:rsid w:val="00944AD2"/>
    <w:rsid w:val="009D0DE6"/>
    <w:rsid w:val="009D0FC6"/>
    <w:rsid w:val="009F3055"/>
    <w:rsid w:val="00A474A2"/>
    <w:rsid w:val="00A7797D"/>
    <w:rsid w:val="00AE264D"/>
    <w:rsid w:val="00B113A0"/>
    <w:rsid w:val="00BD4888"/>
    <w:rsid w:val="00BE3F7D"/>
    <w:rsid w:val="00BF7DA7"/>
    <w:rsid w:val="00C5754B"/>
    <w:rsid w:val="00C77063"/>
    <w:rsid w:val="00C96824"/>
    <w:rsid w:val="00CA3463"/>
    <w:rsid w:val="00CB2333"/>
    <w:rsid w:val="00CE08DF"/>
    <w:rsid w:val="00CE140E"/>
    <w:rsid w:val="00D05741"/>
    <w:rsid w:val="00D52EA0"/>
    <w:rsid w:val="00DA1081"/>
    <w:rsid w:val="00E30544"/>
    <w:rsid w:val="00E4697C"/>
    <w:rsid w:val="00E6124D"/>
    <w:rsid w:val="00E665E9"/>
    <w:rsid w:val="00E73678"/>
    <w:rsid w:val="00E85402"/>
    <w:rsid w:val="00E9031A"/>
    <w:rsid w:val="00E90A22"/>
    <w:rsid w:val="00E9269F"/>
    <w:rsid w:val="00ED547B"/>
    <w:rsid w:val="00F04880"/>
    <w:rsid w:val="00F17B33"/>
    <w:rsid w:val="00F22A61"/>
    <w:rsid w:val="00F4577A"/>
    <w:rsid w:val="00F52463"/>
    <w:rsid w:val="00F600A4"/>
    <w:rsid w:val="00F86F89"/>
    <w:rsid w:val="00FD222A"/>
    <w:rsid w:val="00FD3D85"/>
    <w:rsid w:val="396817B8"/>
    <w:rsid w:val="5FD44ACB"/>
    <w:rsid w:val="73890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1">
    <w:name w:val="页脚 Char"/>
    <w:link w:val="a5"/>
    <w:uiPriority w:val="99"/>
    <w:locked/>
    <w:rPr>
      <w:rFonts w:cs="Times New Roman"/>
      <w:sz w:val="18"/>
      <w:szCs w:val="18"/>
    </w:rPr>
  </w:style>
  <w:style w:type="character" w:customStyle="1" w:styleId="Char2">
    <w:name w:val="页眉 Char"/>
    <w:link w:val="a6"/>
    <w:uiPriority w:val="99"/>
    <w:qFormat/>
    <w:locked/>
    <w:rPr>
      <w:rFonts w:cs="Times New Roman"/>
      <w:sz w:val="18"/>
      <w:szCs w:val="18"/>
    </w:rPr>
  </w:style>
  <w:style w:type="character" w:customStyle="1" w:styleId="Char0">
    <w:name w:val="批注框文本 Char"/>
    <w:link w:val="a4"/>
    <w:uiPriority w:val="99"/>
    <w:semiHidden/>
    <w:qFormat/>
    <w:locked/>
    <w:rPr>
      <w:rFonts w:cs="Times New Roman"/>
      <w:kern w:val="2"/>
      <w:sz w:val="18"/>
      <w:szCs w:val="18"/>
    </w:rPr>
  </w:style>
  <w:style w:type="character" w:customStyle="1" w:styleId="Char">
    <w:name w:val="日期 Char"/>
    <w:link w:val="a3"/>
    <w:uiPriority w:val="99"/>
    <w:semiHidden/>
    <w:locked/>
    <w:rPr>
      <w:rFonts w:cs="Times New Roman"/>
      <w:kern w:val="2"/>
      <w:sz w:val="22"/>
      <w:szCs w:val="22"/>
    </w:rPr>
  </w:style>
  <w:style w:type="paragraph" w:styleId="a7">
    <w:name w:val="List Paragraph"/>
    <w:basedOn w:val="a"/>
    <w:uiPriority w:val="99"/>
    <w:rsid w:val="00F86F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1">
    <w:name w:val="页脚 Char"/>
    <w:link w:val="a5"/>
    <w:uiPriority w:val="99"/>
    <w:locked/>
    <w:rPr>
      <w:rFonts w:cs="Times New Roman"/>
      <w:sz w:val="18"/>
      <w:szCs w:val="18"/>
    </w:rPr>
  </w:style>
  <w:style w:type="character" w:customStyle="1" w:styleId="Char2">
    <w:name w:val="页眉 Char"/>
    <w:link w:val="a6"/>
    <w:uiPriority w:val="99"/>
    <w:qFormat/>
    <w:locked/>
    <w:rPr>
      <w:rFonts w:cs="Times New Roman"/>
      <w:sz w:val="18"/>
      <w:szCs w:val="18"/>
    </w:rPr>
  </w:style>
  <w:style w:type="character" w:customStyle="1" w:styleId="Char0">
    <w:name w:val="批注框文本 Char"/>
    <w:link w:val="a4"/>
    <w:uiPriority w:val="99"/>
    <w:semiHidden/>
    <w:qFormat/>
    <w:locked/>
    <w:rPr>
      <w:rFonts w:cs="Times New Roman"/>
      <w:kern w:val="2"/>
      <w:sz w:val="18"/>
      <w:szCs w:val="18"/>
    </w:rPr>
  </w:style>
  <w:style w:type="character" w:customStyle="1" w:styleId="Char">
    <w:name w:val="日期 Char"/>
    <w:link w:val="a3"/>
    <w:uiPriority w:val="99"/>
    <w:semiHidden/>
    <w:locked/>
    <w:rPr>
      <w:rFonts w:cs="Times New Roman"/>
      <w:kern w:val="2"/>
      <w:sz w:val="22"/>
      <w:szCs w:val="22"/>
    </w:rPr>
  </w:style>
  <w:style w:type="paragraph" w:styleId="a7">
    <w:name w:val="List Paragraph"/>
    <w:basedOn w:val="a"/>
    <w:uiPriority w:val="99"/>
    <w:rsid w:val="00F86F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4190">
      <w:bodyDiv w:val="1"/>
      <w:marLeft w:val="0"/>
      <w:marRight w:val="0"/>
      <w:marTop w:val="0"/>
      <w:marBottom w:val="0"/>
      <w:divBdr>
        <w:top w:val="none" w:sz="0" w:space="0" w:color="auto"/>
        <w:left w:val="none" w:sz="0" w:space="0" w:color="auto"/>
        <w:bottom w:val="none" w:sz="0" w:space="0" w:color="auto"/>
        <w:right w:val="none" w:sz="0" w:space="0" w:color="auto"/>
      </w:divBdr>
    </w:div>
    <w:div w:id="1650555746">
      <w:bodyDiv w:val="1"/>
      <w:marLeft w:val="0"/>
      <w:marRight w:val="0"/>
      <w:marTop w:val="0"/>
      <w:marBottom w:val="0"/>
      <w:divBdr>
        <w:top w:val="none" w:sz="0" w:space="0" w:color="auto"/>
        <w:left w:val="none" w:sz="0" w:space="0" w:color="auto"/>
        <w:bottom w:val="none" w:sz="0" w:space="0" w:color="auto"/>
        <w:right w:val="none" w:sz="0" w:space="0" w:color="auto"/>
      </w:divBdr>
    </w:div>
    <w:div w:id="1679387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815</Characters>
  <Application>Microsoft Office Word</Application>
  <DocSecurity>0</DocSecurity>
  <Lines>6</Lines>
  <Paragraphs>1</Paragraphs>
  <ScaleCrop>false</ScaleCrop>
  <Company>HP Inc.</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13</cp:revision>
  <cp:lastPrinted>2022-05-06T05:42:00Z</cp:lastPrinted>
  <dcterms:created xsi:type="dcterms:W3CDTF">2023-11-21T09:57:00Z</dcterms:created>
  <dcterms:modified xsi:type="dcterms:W3CDTF">2023-12-01T00:51:00Z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4798B5ACA83B47DE88F2C6A36876F986</vt:lpwstr>
  </property>
</Properties>
</file>